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EC51D" w14:textId="77777777" w:rsidR="001A3863" w:rsidRDefault="006426A2" w:rsidP="006426A2">
      <w:pPr>
        <w:pStyle w:val="Heading3"/>
      </w:pPr>
      <w:r>
        <w:t>BIRTH REGISTRATION IN ENGLAND AND WALES</w:t>
      </w:r>
    </w:p>
    <w:p w14:paraId="07DCBE6F" w14:textId="77777777" w:rsidR="006426A2" w:rsidRDefault="006426A2" w:rsidP="006426A2">
      <w:pPr>
        <w:jc w:val="center"/>
        <w:rPr>
          <w:b/>
          <w:bCs/>
        </w:rPr>
      </w:pPr>
      <w:r>
        <w:rPr>
          <w:b/>
          <w:bCs/>
        </w:rPr>
        <w:t>Liam Davis</w:t>
      </w:r>
    </w:p>
    <w:p w14:paraId="3A825415" w14:textId="77777777" w:rsidR="006426A2" w:rsidRDefault="006426A2" w:rsidP="006426A2">
      <w:pPr>
        <w:jc w:val="center"/>
        <w:rPr>
          <w:b/>
          <w:bCs/>
        </w:rPr>
      </w:pPr>
    </w:p>
    <w:p w14:paraId="34E08677" w14:textId="77777777" w:rsidR="006426A2" w:rsidRDefault="006426A2" w:rsidP="006426A2">
      <w:pPr>
        <w:jc w:val="center"/>
        <w:rPr>
          <w:b/>
          <w:bCs/>
        </w:rPr>
      </w:pPr>
      <w:r>
        <w:rPr>
          <w:b/>
          <w:bCs/>
        </w:rPr>
        <w:t>Further resources</w:t>
      </w:r>
    </w:p>
    <w:p w14:paraId="24935F18" w14:textId="77777777" w:rsidR="006426A2" w:rsidRDefault="006426A2" w:rsidP="006426A2">
      <w:pPr>
        <w:rPr>
          <w:i/>
          <w:iCs/>
        </w:rPr>
      </w:pPr>
      <w:r>
        <w:rPr>
          <w:i/>
          <w:iCs/>
        </w:rPr>
        <w:t>Legislation</w:t>
      </w:r>
    </w:p>
    <w:p w14:paraId="44B3E9B8" w14:textId="77777777" w:rsidR="005924B7" w:rsidRDefault="005924B7" w:rsidP="005924B7">
      <w:pPr>
        <w:pStyle w:val="ListParagraph"/>
        <w:numPr>
          <w:ilvl w:val="0"/>
          <w:numId w:val="1"/>
        </w:numPr>
      </w:pPr>
      <w:r>
        <w:t>Births and Deaths Registration Act 1953</w:t>
      </w:r>
    </w:p>
    <w:p w14:paraId="451A150E" w14:textId="77777777" w:rsidR="005924B7" w:rsidRDefault="005924B7" w:rsidP="005924B7">
      <w:pPr>
        <w:pStyle w:val="ListParagraph"/>
        <w:numPr>
          <w:ilvl w:val="0"/>
          <w:numId w:val="1"/>
        </w:numPr>
      </w:pPr>
      <w:r>
        <w:t>The Registration of Births and Deaths Regulations 1987</w:t>
      </w:r>
    </w:p>
    <w:p w14:paraId="14A6926E" w14:textId="77777777" w:rsidR="005924B7" w:rsidRDefault="005924B7" w:rsidP="005924B7">
      <w:pPr>
        <w:pStyle w:val="ListParagraph"/>
        <w:numPr>
          <w:ilvl w:val="0"/>
          <w:numId w:val="1"/>
        </w:numPr>
      </w:pPr>
      <w:r>
        <w:t>Children Act 1989</w:t>
      </w:r>
    </w:p>
    <w:p w14:paraId="554C3F5B" w14:textId="77777777" w:rsidR="005924B7" w:rsidRPr="005924B7" w:rsidRDefault="005924B7" w:rsidP="005924B7">
      <w:pPr>
        <w:pStyle w:val="ListParagraph"/>
        <w:numPr>
          <w:ilvl w:val="0"/>
          <w:numId w:val="1"/>
        </w:numPr>
      </w:pPr>
      <w:r>
        <w:t xml:space="preserve">Human Fertilisation and Embryology Act 2008 </w:t>
      </w:r>
    </w:p>
    <w:p w14:paraId="69276524" w14:textId="77777777" w:rsidR="006426A2" w:rsidRDefault="006426A2" w:rsidP="006426A2">
      <w:pPr>
        <w:rPr>
          <w:i/>
          <w:iCs/>
        </w:rPr>
      </w:pPr>
    </w:p>
    <w:p w14:paraId="2760032D" w14:textId="77777777" w:rsidR="006426A2" w:rsidRDefault="005924B7" w:rsidP="006426A2">
      <w:pPr>
        <w:rPr>
          <w:i/>
          <w:iCs/>
        </w:rPr>
      </w:pPr>
      <w:r>
        <w:rPr>
          <w:i/>
          <w:iCs/>
        </w:rPr>
        <w:t>Articles/Books</w:t>
      </w:r>
    </w:p>
    <w:p w14:paraId="29669ACF" w14:textId="6FA0159F" w:rsidR="00D87574" w:rsidRDefault="00D87574" w:rsidP="005924B7">
      <w:pPr>
        <w:pStyle w:val="ListParagraph"/>
        <w:numPr>
          <w:ilvl w:val="0"/>
          <w:numId w:val="1"/>
        </w:numPr>
      </w:pPr>
      <w:r>
        <w:t xml:space="preserve">A Sharpe, </w:t>
      </w:r>
      <w:r w:rsidRPr="00D87574">
        <w:rPr>
          <w:i/>
          <w:iCs/>
        </w:rPr>
        <w:t>Transgender jurisprudence: Dysphoric bodies of law</w:t>
      </w:r>
      <w:r>
        <w:t xml:space="preserve"> (</w:t>
      </w:r>
      <w:r w:rsidRPr="00D87574">
        <w:t>Cavendish</w:t>
      </w:r>
      <w:r>
        <w:t xml:space="preserve"> 2002)</w:t>
      </w:r>
    </w:p>
    <w:p w14:paraId="604DB949" w14:textId="2F9A0F47" w:rsidR="001E47F7" w:rsidRDefault="001E47F7" w:rsidP="005924B7">
      <w:pPr>
        <w:pStyle w:val="ListParagraph"/>
        <w:numPr>
          <w:ilvl w:val="0"/>
          <w:numId w:val="1"/>
        </w:numPr>
      </w:pPr>
      <w:r>
        <w:t xml:space="preserve">bell hooks, </w:t>
      </w:r>
      <w:r w:rsidRPr="00E12CA3">
        <w:rPr>
          <w:i/>
          <w:iCs/>
        </w:rPr>
        <w:t>Feminism is for everybody</w:t>
      </w:r>
      <w:r>
        <w:t xml:space="preserve"> (Pluto 20</w:t>
      </w:r>
      <w:r w:rsidR="00A356E7">
        <w:t>0</w:t>
      </w:r>
      <w:r>
        <w:t>0)</w:t>
      </w:r>
    </w:p>
    <w:p w14:paraId="20CA074E" w14:textId="77777777" w:rsidR="005924B7" w:rsidRDefault="005924B7" w:rsidP="005924B7">
      <w:pPr>
        <w:pStyle w:val="ListParagraph"/>
        <w:numPr>
          <w:ilvl w:val="0"/>
          <w:numId w:val="1"/>
        </w:numPr>
      </w:pPr>
      <w:r>
        <w:t>Cathy Cohen, ‘</w:t>
      </w:r>
      <w:r w:rsidRPr="00A81CBE">
        <w:t xml:space="preserve">Punks, </w:t>
      </w:r>
      <w:proofErr w:type="spellStart"/>
      <w:r w:rsidRPr="00A81CBE">
        <w:t>Bulldaggers</w:t>
      </w:r>
      <w:proofErr w:type="spellEnd"/>
      <w:r w:rsidRPr="00A81CBE">
        <w:t>, and Welfare Queens: The Radical Potential of Queer Politics?</w:t>
      </w:r>
      <w:r>
        <w:t>’ (1997) GLQ 437</w:t>
      </w:r>
    </w:p>
    <w:p w14:paraId="0186F064" w14:textId="77777777" w:rsidR="001E47F7" w:rsidRDefault="001E47F7" w:rsidP="005924B7">
      <w:pPr>
        <w:pStyle w:val="ListParagraph"/>
        <w:numPr>
          <w:ilvl w:val="0"/>
          <w:numId w:val="1"/>
        </w:numPr>
      </w:pPr>
      <w:r>
        <w:t>Frank Furstenberg and others, ‘</w:t>
      </w:r>
      <w:r w:rsidRPr="001E47F7">
        <w:t>Kinship Practices Among Alternative Family Forms in Western Industrialized Societies</w:t>
      </w:r>
      <w:r>
        <w:t>’ (2020) 82(5) Journal of Marriage and Family 1403</w:t>
      </w:r>
    </w:p>
    <w:p w14:paraId="30C0D085" w14:textId="7F26F001" w:rsidR="005924B7" w:rsidRDefault="005924B7" w:rsidP="005924B7">
      <w:pPr>
        <w:pStyle w:val="ListParagraph"/>
        <w:numPr>
          <w:ilvl w:val="0"/>
          <w:numId w:val="1"/>
        </w:numPr>
      </w:pPr>
      <w:r w:rsidRPr="005924B7">
        <w:t>Hannah McCann</w:t>
      </w:r>
      <w:r>
        <w:t xml:space="preserve"> &amp; </w:t>
      </w:r>
      <w:r w:rsidRPr="005924B7">
        <w:t>Whitney Monaghan</w:t>
      </w:r>
      <w:r>
        <w:t xml:space="preserve">, </w:t>
      </w:r>
      <w:r>
        <w:rPr>
          <w:i/>
          <w:iCs/>
        </w:rPr>
        <w:t>Queer Theory Now: From Foundations to Future</w:t>
      </w:r>
      <w:r w:rsidR="00B900F9">
        <w:rPr>
          <w:i/>
          <w:iCs/>
        </w:rPr>
        <w:t>s</w:t>
      </w:r>
      <w:r>
        <w:rPr>
          <w:i/>
          <w:iCs/>
        </w:rPr>
        <w:t xml:space="preserve"> </w:t>
      </w:r>
      <w:r>
        <w:t>(Macmillan 2019)</w:t>
      </w:r>
    </w:p>
    <w:p w14:paraId="700C4DE4" w14:textId="77777777" w:rsidR="000F159F" w:rsidRDefault="005924B7" w:rsidP="000F159F">
      <w:pPr>
        <w:pStyle w:val="ListParagraph"/>
        <w:numPr>
          <w:ilvl w:val="0"/>
          <w:numId w:val="1"/>
        </w:numPr>
      </w:pPr>
      <w:r>
        <w:t xml:space="preserve">Judith Butler, </w:t>
      </w:r>
      <w:r>
        <w:rPr>
          <w:i/>
          <w:iCs/>
        </w:rPr>
        <w:t xml:space="preserve">Undoing Gender </w:t>
      </w:r>
      <w:r>
        <w:t>(Routledge 2004)</w:t>
      </w:r>
    </w:p>
    <w:p w14:paraId="2315056D" w14:textId="77777777" w:rsidR="000F159F" w:rsidRDefault="000F159F" w:rsidP="000F159F">
      <w:pPr>
        <w:pStyle w:val="ListParagraph"/>
        <w:numPr>
          <w:ilvl w:val="0"/>
          <w:numId w:val="1"/>
        </w:numPr>
      </w:pPr>
      <w:r w:rsidRPr="000F159F">
        <w:t xml:space="preserve">Julie McCandless, ‘Reforming Birth Registration Law in England and Wales?’ (2017) 4 Reproductive Biomedicine </w:t>
      </w:r>
      <w:r>
        <w:t>&amp;</w:t>
      </w:r>
      <w:r w:rsidRPr="000F159F">
        <w:t xml:space="preserve"> Society Online 52 </w:t>
      </w:r>
    </w:p>
    <w:p w14:paraId="787DDD84" w14:textId="77777777" w:rsidR="000F159F" w:rsidRDefault="000F159F" w:rsidP="000F159F">
      <w:pPr>
        <w:pStyle w:val="ListParagraph"/>
        <w:numPr>
          <w:ilvl w:val="0"/>
          <w:numId w:val="1"/>
        </w:numPr>
      </w:pPr>
      <w:r w:rsidRPr="000F159F">
        <w:t xml:space="preserve">Julie McCandless </w:t>
      </w:r>
      <w:r w:rsidR="00213A41">
        <w:t>&amp;</w:t>
      </w:r>
      <w:r w:rsidRPr="000F159F">
        <w:t xml:space="preserve"> Sally Sheldon, ‘The Human Fertilisation and Embryology Act (2008) and the Tenacity of the Sexual Family Form</w:t>
      </w:r>
      <w:r w:rsidR="00213A41">
        <w:t xml:space="preserve">’ </w:t>
      </w:r>
      <w:r w:rsidRPr="000F159F">
        <w:t>(2010) 73 Modern Law Review 175</w:t>
      </w:r>
    </w:p>
    <w:p w14:paraId="0FA816A1" w14:textId="77777777" w:rsidR="00DA6CCA" w:rsidRDefault="00DA6CCA" w:rsidP="00DA6CCA">
      <w:pPr>
        <w:pStyle w:val="ListParagraph"/>
        <w:numPr>
          <w:ilvl w:val="0"/>
          <w:numId w:val="1"/>
        </w:numPr>
      </w:pPr>
      <w:r w:rsidRPr="00DA6CCA">
        <w:t>Liam Davis, ‘Deconstructing Tradition: Trans Reproduction and the Need to Reform Birth Registration in England and Wales’ (2020) International Journal of Transgender Health</w:t>
      </w:r>
      <w:r w:rsidR="00490F08">
        <w:t xml:space="preserve"> (</w:t>
      </w:r>
      <w:r>
        <w:t>advance online copy</w:t>
      </w:r>
      <w:r w:rsidR="00490F08">
        <w:t xml:space="preserve"> ahead of print publication)</w:t>
      </w:r>
    </w:p>
    <w:p w14:paraId="3E78D3C3" w14:textId="77777777" w:rsidR="000F159F" w:rsidRPr="000F159F" w:rsidRDefault="000F159F" w:rsidP="000F159F">
      <w:pPr>
        <w:pStyle w:val="ListParagraph"/>
        <w:numPr>
          <w:ilvl w:val="0"/>
          <w:numId w:val="1"/>
        </w:numPr>
        <w:rPr>
          <w:i/>
          <w:iCs/>
        </w:rPr>
      </w:pPr>
      <w:r>
        <w:t xml:space="preserve">Lisa Duggan, </w:t>
      </w:r>
      <w:r w:rsidRPr="00DA6CCA">
        <w:rPr>
          <w:i/>
          <w:iCs/>
        </w:rPr>
        <w:t>The twilight of equality? Neoliberalism, cultural politics, and the</w:t>
      </w:r>
      <w:r>
        <w:rPr>
          <w:i/>
          <w:iCs/>
        </w:rPr>
        <w:t xml:space="preserve"> </w:t>
      </w:r>
      <w:r w:rsidRPr="000F159F">
        <w:rPr>
          <w:i/>
          <w:iCs/>
        </w:rPr>
        <w:t xml:space="preserve">attack on democracy </w:t>
      </w:r>
      <w:r>
        <w:t>(Beacon Press 2003)</w:t>
      </w:r>
    </w:p>
    <w:p w14:paraId="428B8D67" w14:textId="7B9D7EA2" w:rsidR="00366F08" w:rsidRDefault="000F159F" w:rsidP="00366F08">
      <w:pPr>
        <w:pStyle w:val="ListParagraph"/>
        <w:numPr>
          <w:ilvl w:val="0"/>
          <w:numId w:val="1"/>
        </w:numPr>
      </w:pPr>
      <w:r>
        <w:lastRenderedPageBreak/>
        <w:t>M</w:t>
      </w:r>
      <w:r w:rsidR="00366F08">
        <w:t>arilyn</w:t>
      </w:r>
      <w:r>
        <w:t xml:space="preserve"> Crawshaw, E</w:t>
      </w:r>
      <w:r w:rsidR="00366F08">
        <w:t xml:space="preserve">ric </w:t>
      </w:r>
      <w:r>
        <w:t>Blyth and J</w:t>
      </w:r>
      <w:r w:rsidR="00366F08">
        <w:t xml:space="preserve">ulia </w:t>
      </w:r>
      <w:r>
        <w:t xml:space="preserve">Feast, ‘Can the UK’s birth registration system better serve the interests of those born following collaborative assisted reproduction’ (2017) 4 </w:t>
      </w:r>
      <w:r w:rsidRPr="004850EB">
        <w:t>Reproductive Biomedicine &amp; Society Onlin</w:t>
      </w:r>
      <w:r>
        <w:t>e 1</w:t>
      </w:r>
    </w:p>
    <w:p w14:paraId="64100363" w14:textId="3792C037" w:rsidR="003C049C" w:rsidRDefault="003C049C" w:rsidP="00366F08">
      <w:pPr>
        <w:pStyle w:val="ListParagraph"/>
        <w:numPr>
          <w:ilvl w:val="0"/>
          <w:numId w:val="1"/>
        </w:numPr>
      </w:pPr>
      <w:r>
        <w:t>Martha Fineman</w:t>
      </w:r>
      <w:r w:rsidRPr="00B830A1">
        <w:rPr>
          <w:i/>
          <w:iCs/>
        </w:rPr>
        <w:t>, The Neutered Mother, the Sexual Family, and Other Twentieth Century Tragedies</w:t>
      </w:r>
      <w:r>
        <w:rPr>
          <w:b/>
          <w:bCs/>
        </w:rPr>
        <w:t xml:space="preserve"> </w:t>
      </w:r>
      <w:r>
        <w:t>(Psychology Press 1995)</w:t>
      </w:r>
    </w:p>
    <w:p w14:paraId="2C1401C0" w14:textId="1B950336" w:rsidR="00493635" w:rsidRDefault="00366F08" w:rsidP="00493635">
      <w:pPr>
        <w:pStyle w:val="ListParagraph"/>
        <w:numPr>
          <w:ilvl w:val="0"/>
          <w:numId w:val="1"/>
        </w:numPr>
      </w:pPr>
      <w:r w:rsidRPr="00366F08">
        <w:t xml:space="preserve">Nicola Surtees and Philip </w:t>
      </w:r>
      <w:proofErr w:type="spellStart"/>
      <w:r w:rsidRPr="00366F08">
        <w:t>Bremner</w:t>
      </w:r>
      <w:proofErr w:type="spellEnd"/>
      <w:r w:rsidRPr="00366F08">
        <w:t>, ‘Gay and Lesbian Collaborative Co-Parenting in New Zealand and the United Kingdom: “The Law Doesn’t Protect the Third Parent”’ (2020) 29 Social and Legal Studies 507</w:t>
      </w:r>
    </w:p>
    <w:p w14:paraId="3EA8ECF5" w14:textId="704E5525" w:rsidR="00493635" w:rsidRDefault="00493635" w:rsidP="00493635">
      <w:pPr>
        <w:pStyle w:val="ListParagraph"/>
        <w:numPr>
          <w:ilvl w:val="0"/>
          <w:numId w:val="1"/>
        </w:numPr>
      </w:pPr>
      <w:r w:rsidRPr="00493635">
        <w:t>R W Ambler, ‘Civil Registration and Baptism: Popular Perceptions of the 1836 Act for Registering Births, Deaths and Marriages’ (1987) 39 Local Population Studies 24</w:t>
      </w:r>
    </w:p>
    <w:p w14:paraId="6697B02E" w14:textId="77777777" w:rsidR="00DA6CCA" w:rsidRDefault="00DA6CCA" w:rsidP="00DA6CCA">
      <w:pPr>
        <w:pStyle w:val="ListParagraph"/>
        <w:numPr>
          <w:ilvl w:val="0"/>
          <w:numId w:val="1"/>
        </w:numPr>
      </w:pPr>
      <w:r>
        <w:t>Samuel Chambers &amp; Terrell Carver,</w:t>
      </w:r>
      <w:r w:rsidRPr="00F750FF">
        <w:rPr>
          <w:i/>
          <w:iCs/>
        </w:rPr>
        <w:t xml:space="preserve"> Judith Butler &amp; Political Theory: Troubling Politics</w:t>
      </w:r>
      <w:r>
        <w:t xml:space="preserve"> (Routledge 2008)</w:t>
      </w:r>
    </w:p>
    <w:p w14:paraId="644ED24A" w14:textId="77777777" w:rsidR="000F159F" w:rsidRDefault="000F159F" w:rsidP="00DA6CCA">
      <w:pPr>
        <w:pStyle w:val="ListParagraph"/>
        <w:numPr>
          <w:ilvl w:val="0"/>
          <w:numId w:val="1"/>
        </w:numPr>
      </w:pPr>
      <w:r>
        <w:t xml:space="preserve">Sophie Lewis, </w:t>
      </w:r>
      <w:r>
        <w:rPr>
          <w:i/>
          <w:iCs/>
        </w:rPr>
        <w:t xml:space="preserve">Full surrogacy now </w:t>
      </w:r>
      <w:r>
        <w:t>(Verso 2019)</w:t>
      </w:r>
    </w:p>
    <w:p w14:paraId="3EE64B35" w14:textId="164657B5" w:rsidR="000C243F" w:rsidRDefault="000C243F" w:rsidP="00DA6CCA">
      <w:pPr>
        <w:pStyle w:val="ListParagraph"/>
        <w:numPr>
          <w:ilvl w:val="0"/>
          <w:numId w:val="1"/>
        </w:numPr>
      </w:pPr>
      <w:r>
        <w:t>Volume 1, Issue 1 of</w:t>
      </w:r>
      <w:r w:rsidR="00F87709">
        <w:t xml:space="preserve"> the</w:t>
      </w:r>
      <w:r>
        <w:t xml:space="preserve"> </w:t>
      </w:r>
      <w:r w:rsidRPr="000C243F">
        <w:rPr>
          <w:lang w:val="en-US"/>
        </w:rPr>
        <w:t>International Journal of Gender, Sexuality and Law</w:t>
      </w:r>
      <w:r>
        <w:rPr>
          <w:lang w:val="en-US"/>
        </w:rPr>
        <w:t xml:space="preserve"> (on decertification of sex/gender)</w:t>
      </w:r>
    </w:p>
    <w:p w14:paraId="23E0006E" w14:textId="77777777" w:rsidR="00934490" w:rsidRDefault="00934490" w:rsidP="00DA6CCA">
      <w:pPr>
        <w:pStyle w:val="ListParagraph"/>
        <w:numPr>
          <w:ilvl w:val="0"/>
          <w:numId w:val="1"/>
        </w:numPr>
      </w:pPr>
      <w:r>
        <w:rPr>
          <w:lang w:val="en-US"/>
        </w:rPr>
        <w:t>V</w:t>
      </w:r>
      <w:r w:rsidRPr="00934490">
        <w:rPr>
          <w:lang w:val="en-US"/>
        </w:rPr>
        <w:t>ol</w:t>
      </w:r>
      <w:r>
        <w:rPr>
          <w:lang w:val="en-US"/>
        </w:rPr>
        <w:t>ume</w:t>
      </w:r>
      <w:r w:rsidRPr="00934490">
        <w:rPr>
          <w:lang w:val="en-US"/>
        </w:rPr>
        <w:t xml:space="preserve"> 1</w:t>
      </w:r>
      <w:r>
        <w:rPr>
          <w:lang w:val="en-US"/>
        </w:rPr>
        <w:t>0, Issue 2</w:t>
      </w:r>
      <w:r w:rsidRPr="00934490">
        <w:rPr>
          <w:lang w:val="en-US"/>
        </w:rPr>
        <w:t xml:space="preserve"> of </w:t>
      </w:r>
      <w:proofErr w:type="spellStart"/>
      <w:r w:rsidRPr="00934490">
        <w:rPr>
          <w:lang w:val="en-US"/>
        </w:rPr>
        <w:t>feminists@law</w:t>
      </w:r>
      <w:proofErr w:type="spellEnd"/>
      <w:r>
        <w:rPr>
          <w:lang w:val="en-US"/>
        </w:rPr>
        <w:t xml:space="preserve"> (on decertification of sex/gender)</w:t>
      </w:r>
    </w:p>
    <w:p w14:paraId="637D3D12" w14:textId="77777777" w:rsidR="006426A2" w:rsidRDefault="006426A2" w:rsidP="006426A2">
      <w:pPr>
        <w:rPr>
          <w:i/>
          <w:iCs/>
        </w:rPr>
      </w:pPr>
    </w:p>
    <w:p w14:paraId="569CD5D2" w14:textId="77777777" w:rsidR="006426A2" w:rsidRDefault="006426A2" w:rsidP="006426A2">
      <w:pPr>
        <w:rPr>
          <w:i/>
          <w:iCs/>
        </w:rPr>
      </w:pPr>
      <w:r>
        <w:rPr>
          <w:i/>
          <w:iCs/>
        </w:rPr>
        <w:t>Reports</w:t>
      </w:r>
    </w:p>
    <w:p w14:paraId="59C3C3E9" w14:textId="77777777" w:rsidR="005924B7" w:rsidRPr="005924B7" w:rsidRDefault="005924B7" w:rsidP="005924B7">
      <w:pPr>
        <w:pStyle w:val="ListParagraph"/>
        <w:numPr>
          <w:ilvl w:val="0"/>
          <w:numId w:val="1"/>
        </w:numPr>
        <w:rPr>
          <w:i/>
          <w:iCs/>
        </w:rPr>
      </w:pPr>
      <w:r>
        <w:t xml:space="preserve">Law Commission of England and Wales &amp; Scottish Law Commission, </w:t>
      </w:r>
      <w:r w:rsidRPr="005924B7">
        <w:rPr>
          <w:i/>
          <w:iCs/>
        </w:rPr>
        <w:t xml:space="preserve">Building </w:t>
      </w:r>
      <w:r>
        <w:rPr>
          <w:i/>
          <w:iCs/>
        </w:rPr>
        <w:t>f</w:t>
      </w:r>
      <w:r w:rsidRPr="005924B7">
        <w:rPr>
          <w:i/>
          <w:iCs/>
        </w:rPr>
        <w:t>amilies</w:t>
      </w:r>
      <w:r>
        <w:rPr>
          <w:i/>
          <w:iCs/>
        </w:rPr>
        <w:t xml:space="preserve"> t</w:t>
      </w:r>
      <w:r w:rsidRPr="005924B7">
        <w:rPr>
          <w:i/>
          <w:iCs/>
        </w:rPr>
        <w:t xml:space="preserve">hrough </w:t>
      </w:r>
      <w:r>
        <w:rPr>
          <w:i/>
          <w:iCs/>
        </w:rPr>
        <w:t>s</w:t>
      </w:r>
      <w:r w:rsidRPr="005924B7">
        <w:rPr>
          <w:i/>
          <w:iCs/>
        </w:rPr>
        <w:t xml:space="preserve">urrogacy: </w:t>
      </w:r>
      <w:r>
        <w:rPr>
          <w:i/>
          <w:iCs/>
        </w:rPr>
        <w:t>a</w:t>
      </w:r>
      <w:r w:rsidRPr="005924B7">
        <w:rPr>
          <w:i/>
          <w:iCs/>
        </w:rPr>
        <w:t xml:space="preserve"> new law </w:t>
      </w:r>
      <w:r>
        <w:t>(June 2019)</w:t>
      </w:r>
    </w:p>
    <w:p w14:paraId="463FADB1" w14:textId="77777777" w:rsidR="006426A2" w:rsidRDefault="006426A2" w:rsidP="006426A2">
      <w:pPr>
        <w:rPr>
          <w:i/>
          <w:iCs/>
        </w:rPr>
      </w:pPr>
    </w:p>
    <w:p w14:paraId="13F7364C" w14:textId="77777777" w:rsidR="006426A2" w:rsidRDefault="006426A2" w:rsidP="006426A2">
      <w:pPr>
        <w:rPr>
          <w:i/>
          <w:iCs/>
        </w:rPr>
      </w:pPr>
      <w:r>
        <w:rPr>
          <w:i/>
          <w:iCs/>
        </w:rPr>
        <w:t xml:space="preserve">Cases </w:t>
      </w:r>
    </w:p>
    <w:p w14:paraId="0DEAB0AB" w14:textId="77777777" w:rsidR="009C280F" w:rsidRPr="009C280F" w:rsidRDefault="009C280F" w:rsidP="000F159F">
      <w:pPr>
        <w:pStyle w:val="ListParagraph"/>
        <w:numPr>
          <w:ilvl w:val="0"/>
          <w:numId w:val="1"/>
        </w:numPr>
      </w:pPr>
      <w:r w:rsidRPr="00213A41">
        <w:rPr>
          <w:i/>
          <w:iCs/>
        </w:rPr>
        <w:t>AB v CD &amp; C</w:t>
      </w:r>
      <w:r w:rsidRPr="009C280F">
        <w:t xml:space="preserve"> [2019] EWHC 1695 (Fam)</w:t>
      </w:r>
    </w:p>
    <w:p w14:paraId="7F88464A" w14:textId="77777777" w:rsidR="002102CE" w:rsidRPr="002102CE" w:rsidRDefault="002102CE" w:rsidP="000F159F">
      <w:pPr>
        <w:pStyle w:val="ListParagraph"/>
        <w:numPr>
          <w:ilvl w:val="0"/>
          <w:numId w:val="1"/>
        </w:numPr>
      </w:pPr>
      <w:r w:rsidRPr="002102CE">
        <w:rPr>
          <w:i/>
          <w:iCs/>
        </w:rPr>
        <w:t>Re G (Declaration of Parentage: Removal of Person Identified as Mother from Birth Certificate) (No 1)</w:t>
      </w:r>
      <w:r w:rsidRPr="002102CE">
        <w:t xml:space="preserve"> [2018] EWHC 3379 (Fam)</w:t>
      </w:r>
    </w:p>
    <w:p w14:paraId="29FD919A" w14:textId="77777777" w:rsidR="000F159F" w:rsidRDefault="000F159F" w:rsidP="000F159F">
      <w:pPr>
        <w:pStyle w:val="ListParagraph"/>
        <w:numPr>
          <w:ilvl w:val="0"/>
          <w:numId w:val="1"/>
        </w:numPr>
      </w:pPr>
      <w:r w:rsidRPr="00F416F4">
        <w:rPr>
          <w:i/>
          <w:iCs/>
        </w:rPr>
        <w:t>Re TT and YY</w:t>
      </w:r>
      <w:r w:rsidRPr="00F416F4">
        <w:t xml:space="preserve"> [2019] EWHC 1823 (Fam)</w:t>
      </w:r>
    </w:p>
    <w:p w14:paraId="7FC77937" w14:textId="76FD1EC5" w:rsidR="000F159F" w:rsidRDefault="000F159F" w:rsidP="000F159F">
      <w:pPr>
        <w:pStyle w:val="ListParagraph"/>
        <w:numPr>
          <w:ilvl w:val="0"/>
          <w:numId w:val="1"/>
        </w:numPr>
      </w:pPr>
      <w:r w:rsidRPr="00F416F4">
        <w:rPr>
          <w:i/>
          <w:iCs/>
        </w:rPr>
        <w:t xml:space="preserve">R </w:t>
      </w:r>
      <w:r w:rsidR="00D76B37">
        <w:rPr>
          <w:i/>
          <w:iCs/>
        </w:rPr>
        <w:t>(</w:t>
      </w:r>
      <w:r w:rsidRPr="00F416F4">
        <w:rPr>
          <w:i/>
          <w:iCs/>
        </w:rPr>
        <w:t xml:space="preserve">McConnell) v The Registrar General for England and Wales </w:t>
      </w:r>
      <w:r>
        <w:t xml:space="preserve">[2020] EWCA </w:t>
      </w:r>
      <w:proofErr w:type="spellStart"/>
      <w:r>
        <w:t>Civ</w:t>
      </w:r>
      <w:proofErr w:type="spellEnd"/>
      <w:r>
        <w:t xml:space="preserve"> 559</w:t>
      </w:r>
    </w:p>
    <w:p w14:paraId="22821CA2" w14:textId="239F750D" w:rsidR="002102CE" w:rsidRPr="000F159F" w:rsidRDefault="000F159F" w:rsidP="002102CE">
      <w:pPr>
        <w:pStyle w:val="ListParagraph"/>
        <w:numPr>
          <w:ilvl w:val="0"/>
          <w:numId w:val="1"/>
        </w:numPr>
      </w:pPr>
      <w:r w:rsidRPr="00F416F4">
        <w:rPr>
          <w:i/>
        </w:rPr>
        <w:t>R (JK) v Registrar General for England and Wales</w:t>
      </w:r>
      <w:r w:rsidRPr="00F416F4">
        <w:rPr>
          <w:iCs/>
        </w:rPr>
        <w:t xml:space="preserve"> [2015] EWHC 990 (Admin)</w:t>
      </w:r>
    </w:p>
    <w:sectPr w:rsidR="002102CE" w:rsidRPr="000F15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C7304A" w14:textId="77777777" w:rsidR="00F3013C" w:rsidRDefault="00F3013C" w:rsidP="00DA6CCA">
      <w:pPr>
        <w:spacing w:line="240" w:lineRule="auto"/>
      </w:pPr>
      <w:r>
        <w:separator/>
      </w:r>
    </w:p>
  </w:endnote>
  <w:endnote w:type="continuationSeparator" w:id="0">
    <w:p w14:paraId="4C2C12E1" w14:textId="77777777" w:rsidR="00F3013C" w:rsidRDefault="00F3013C" w:rsidP="00DA6C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210623" w14:textId="77777777" w:rsidR="00F3013C" w:rsidRDefault="00F3013C" w:rsidP="00DA6CCA">
      <w:pPr>
        <w:spacing w:line="240" w:lineRule="auto"/>
      </w:pPr>
      <w:r>
        <w:separator/>
      </w:r>
    </w:p>
  </w:footnote>
  <w:footnote w:type="continuationSeparator" w:id="0">
    <w:p w14:paraId="0AC1E0AE" w14:textId="77777777" w:rsidR="00F3013C" w:rsidRDefault="00F3013C" w:rsidP="00DA6C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E61C13"/>
    <w:multiLevelType w:val="hybridMultilevel"/>
    <w:tmpl w:val="D340DC2C"/>
    <w:lvl w:ilvl="0" w:tplc="3E64DC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6A2"/>
    <w:rsid w:val="000C243F"/>
    <w:rsid w:val="000F159F"/>
    <w:rsid w:val="001A3863"/>
    <w:rsid w:val="001E47F7"/>
    <w:rsid w:val="00200A7F"/>
    <w:rsid w:val="002102CE"/>
    <w:rsid w:val="00213A41"/>
    <w:rsid w:val="002F7D1B"/>
    <w:rsid w:val="00366F08"/>
    <w:rsid w:val="003C049C"/>
    <w:rsid w:val="00490F08"/>
    <w:rsid w:val="00493635"/>
    <w:rsid w:val="005924B7"/>
    <w:rsid w:val="005A56D5"/>
    <w:rsid w:val="005A67AC"/>
    <w:rsid w:val="005B0707"/>
    <w:rsid w:val="005B7DE8"/>
    <w:rsid w:val="006426A2"/>
    <w:rsid w:val="0069156E"/>
    <w:rsid w:val="007129CF"/>
    <w:rsid w:val="008B6852"/>
    <w:rsid w:val="008C4883"/>
    <w:rsid w:val="008C65C5"/>
    <w:rsid w:val="00934490"/>
    <w:rsid w:val="009C280F"/>
    <w:rsid w:val="00A037C3"/>
    <w:rsid w:val="00A03AA8"/>
    <w:rsid w:val="00A356E7"/>
    <w:rsid w:val="00AB3DD0"/>
    <w:rsid w:val="00AE6AFA"/>
    <w:rsid w:val="00B75037"/>
    <w:rsid w:val="00B900F9"/>
    <w:rsid w:val="00C15E6A"/>
    <w:rsid w:val="00C806CE"/>
    <w:rsid w:val="00CC4DA2"/>
    <w:rsid w:val="00D76B37"/>
    <w:rsid w:val="00D87574"/>
    <w:rsid w:val="00DA6CCA"/>
    <w:rsid w:val="00DE6A41"/>
    <w:rsid w:val="00E12CA3"/>
    <w:rsid w:val="00ED3C7C"/>
    <w:rsid w:val="00F3013C"/>
    <w:rsid w:val="00F750FF"/>
    <w:rsid w:val="00F87709"/>
    <w:rsid w:val="00FD48CE"/>
    <w:rsid w:val="00FE0092"/>
    <w:rsid w:val="00FE3E4B"/>
    <w:rsid w:val="00FE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B89CD7"/>
  <w15:chartTrackingRefBased/>
  <w15:docId w15:val="{374B58D7-844E-2649-A827-F8092FF0E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D1B"/>
    <w:pPr>
      <w:spacing w:line="360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A56D5"/>
    <w:pPr>
      <w:keepNext/>
      <w:keepLines/>
      <w:spacing w:before="240" w:after="240"/>
      <w:outlineLvl w:val="0"/>
    </w:pPr>
    <w:rPr>
      <w:rFonts w:eastAsiaTheme="majorEastAsia" w:cstheme="majorBidi"/>
      <w:b/>
      <w:color w:val="FF000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A56D5"/>
    <w:pPr>
      <w:keepNext/>
      <w:keepLines/>
      <w:spacing w:before="280" w:after="2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426A2"/>
    <w:pPr>
      <w:keepNext/>
      <w:keepLines/>
      <w:spacing w:before="280" w:after="240"/>
      <w:jc w:val="center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00A7F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heading">
    <w:name w:val="Normal heading"/>
    <w:basedOn w:val="Quote"/>
    <w:rsid w:val="005B0707"/>
    <w:rPr>
      <w:b/>
      <w:i w:val="0"/>
    </w:rPr>
  </w:style>
  <w:style w:type="paragraph" w:styleId="Quote">
    <w:name w:val="Quote"/>
    <w:basedOn w:val="Normal"/>
    <w:next w:val="Normal"/>
    <w:link w:val="QuoteChar"/>
    <w:uiPriority w:val="29"/>
    <w:qFormat/>
    <w:rsid w:val="005B070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0707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A56D5"/>
    <w:rPr>
      <w:rFonts w:eastAsiaTheme="majorEastAsia" w:cstheme="majorBidi"/>
      <w:b/>
      <w:color w:val="FF000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A56D5"/>
    <w:rPr>
      <w:rFonts w:eastAsiaTheme="majorEastAsia" w:cstheme="majorBidi"/>
      <w:b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26A2"/>
    <w:rPr>
      <w:rFonts w:eastAsiaTheme="majorEastAsia" w:cstheme="majorBidi"/>
      <w:b/>
      <w:bCs/>
      <w:color w:val="000000" w:themeColor="text1"/>
    </w:rPr>
  </w:style>
  <w:style w:type="paragraph" w:styleId="Revision">
    <w:name w:val="Revision"/>
    <w:hidden/>
    <w:uiPriority w:val="99"/>
    <w:semiHidden/>
    <w:rsid w:val="001A3863"/>
  </w:style>
  <w:style w:type="character" w:customStyle="1" w:styleId="Heading4Char">
    <w:name w:val="Heading 4 Char"/>
    <w:basedOn w:val="DefaultParagraphFont"/>
    <w:link w:val="Heading4"/>
    <w:uiPriority w:val="9"/>
    <w:rsid w:val="00200A7F"/>
    <w:rPr>
      <w:rFonts w:ascii="Arial" w:eastAsiaTheme="majorEastAsia" w:hAnsi="Arial" w:cstheme="majorBidi"/>
      <w:b/>
      <w:iCs/>
      <w:color w:val="000000" w:themeColor="text1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4B7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4B7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5924B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A6CCA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6CC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A6CC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A6C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6C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1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4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iamDavis/Library/Group%20Containers/UBF8T346G9.Office/User%20Content.localized/Templates.localized/Uni%20wor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6409A09-7846-CC4B-B0E0-39CA81628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 work.dotx</Template>
  <TotalTime>0</TotalTime>
  <Pages>2</Pages>
  <Words>443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Claire Fenton-Glynn</cp:lastModifiedBy>
  <cp:revision>2</cp:revision>
  <dcterms:created xsi:type="dcterms:W3CDTF">2020-12-02T12:16:00Z</dcterms:created>
  <dcterms:modified xsi:type="dcterms:W3CDTF">2020-12-02T12:16:00Z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 6th edition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http://www.zotero.org/styles/oscola</vt:lpwstr>
  </property>
  <property fmtid="{D5CDD505-2E9C-101B-9397-08002B2CF9AE}" pid="21" name="Mendeley Recent Style Name 9_1">
    <vt:lpwstr>OSCOLA (Oxford University Standard for Citation of Legal Authorities)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3e0fa631-d82d-3042-8763-b0a1168e5473</vt:lpwstr>
  </property>
  <property fmtid="{D5CDD505-2E9C-101B-9397-08002B2CF9AE}" pid="24" name="Mendeley Citation Style_1">
    <vt:lpwstr>http://www.zotero.org/styles/oscola</vt:lpwstr>
  </property>
</Properties>
</file>